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A0073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 августа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77E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bookmarkEnd w:id="0"/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1199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1306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Лехтуси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ул. Центральная,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земельный участок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3А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A0073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</w:t>
      </w:r>
      <w:r w:rsidR="00A0073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енерно-технического обеспечения согласно Приложению №5.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CB7" w:rsidRPr="00893209">
        <w:rPr>
          <w:rFonts w:ascii="Times New Roman" w:eastAsia="Times New Roman" w:hAnsi="Times New Roman" w:cs="Times New Roman"/>
          <w:sz w:val="28"/>
          <w:szCs w:val="28"/>
        </w:rPr>
        <w:t>В соответствии с картой градостроительного зонирования территории муниципального образования «Лесколовское сельское поселение» Всеволожского муниципального района Ленинградской области, в составе Правил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утвержденных: приказом комитета по архитектуре и градостроительству Ленинградской области от 26.04.2018 г. № 31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 приказом комитета градостроительной политики Ленинградской области  от 15.04.2020 г. № 17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</w:t>
      </w:r>
      <w:r w:rsidR="00C4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ТЖ2.1 – зона застройки индивидуальными отдельностоящими жилыми домами с участками.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0E2E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 xml:space="preserve">двести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</w:t>
      </w:r>
      <w:r w:rsidR="000E2EB9" w:rsidRPr="000E2EB9">
        <w:t xml:space="preserve"> 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(определена на основании отчета №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02-03-22/Д от 18.02.2022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2 200 000</w:t>
      </w:r>
      <w:r w:rsidR="00AA28EA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два миллиона двести тысяч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66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шестьдесят 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5123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августа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 августа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0E2EB9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AA28EA"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 w:rsidR="000E2EB9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A28EA">
        <w:rPr>
          <w:rFonts w:ascii="Times New Roman" w:eastAsia="Courier New" w:hAnsi="Times New Roman" w:cs="Courier New"/>
          <w:sz w:val="28"/>
          <w:szCs w:val="28"/>
          <w:lang w:eastAsia="en-US"/>
        </w:rPr>
        <w:t>1199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оплату за земельный участок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июля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 августа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6E5E38"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 августа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августа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августа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574F6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августа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6E5E3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A28EA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непоступление задатка на дату </w:t>
      </w:r>
      <w:bookmarkStart w:id="4" w:name="_GoBack"/>
      <w:bookmarkEnd w:id="4"/>
      <w:r w:rsidR="00AA28EA">
        <w:rPr>
          <w:rFonts w:ascii="Times New Roman" w:eastAsia="Courier New" w:hAnsi="Times New Roman" w:cs="Courier New"/>
          <w:sz w:val="28"/>
          <w:szCs w:val="24"/>
          <w:lang w:eastAsia="en-US"/>
        </w:rPr>
        <w:t>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390AAA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62" w:rsidRDefault="00395762" w:rsidP="00A64576">
      <w:pPr>
        <w:spacing w:after="0" w:line="240" w:lineRule="auto"/>
      </w:pPr>
      <w:r>
        <w:separator/>
      </w:r>
    </w:p>
  </w:endnote>
  <w:endnote w:type="continuationSeparator" w:id="0">
    <w:p w:rsidR="00395762" w:rsidRDefault="0039576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62" w:rsidRDefault="00395762" w:rsidP="00A64576">
      <w:pPr>
        <w:spacing w:after="0" w:line="240" w:lineRule="auto"/>
      </w:pPr>
      <w:r>
        <w:separator/>
      </w:r>
    </w:p>
  </w:footnote>
  <w:footnote w:type="continuationSeparator" w:id="0">
    <w:p w:rsidR="00395762" w:rsidRDefault="0039576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28B3"/>
    <w:rsid w:val="000353B4"/>
    <w:rsid w:val="00035E18"/>
    <w:rsid w:val="000368B0"/>
    <w:rsid w:val="00036F04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08B2"/>
    <w:rsid w:val="000D164D"/>
    <w:rsid w:val="000E0380"/>
    <w:rsid w:val="000E2EB9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5762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3C66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46C58"/>
    <w:rsid w:val="005553DD"/>
    <w:rsid w:val="00570E2B"/>
    <w:rsid w:val="00574310"/>
    <w:rsid w:val="00574F64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E5E38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2300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5546"/>
    <w:rsid w:val="008F7CE7"/>
    <w:rsid w:val="009019B6"/>
    <w:rsid w:val="00913780"/>
    <w:rsid w:val="00915186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0732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28EA"/>
    <w:rsid w:val="00AA590F"/>
    <w:rsid w:val="00AA7980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44CB7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3E57"/>
    <w:rsid w:val="00C97531"/>
    <w:rsid w:val="00C97C8F"/>
    <w:rsid w:val="00CA17FC"/>
    <w:rsid w:val="00CB1990"/>
    <w:rsid w:val="00CC38EF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864CD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E8B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1851-4DFC-4002-B710-7A3364E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33</cp:revision>
  <cp:lastPrinted>2021-12-28T09:18:00Z</cp:lastPrinted>
  <dcterms:created xsi:type="dcterms:W3CDTF">2020-10-21T09:42:00Z</dcterms:created>
  <dcterms:modified xsi:type="dcterms:W3CDTF">2022-07-19T09:31:00Z</dcterms:modified>
</cp:coreProperties>
</file>