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9" w:rsidRDefault="00851EED" w:rsidP="001D7920">
      <w:pPr>
        <w:tabs>
          <w:tab w:val="left" w:pos="4035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="00BD668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51EED" w:rsidRDefault="00BD6689" w:rsidP="00BD6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="00851EED">
        <w:rPr>
          <w:noProof/>
          <w:sz w:val="23"/>
          <w:szCs w:val="23"/>
          <w:lang w:eastAsia="ru-RU"/>
        </w:rPr>
        <w:drawing>
          <wp:inline distT="0" distB="0" distL="0" distR="0">
            <wp:extent cx="753745" cy="9144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EED">
        <w:rPr>
          <w:sz w:val="23"/>
          <w:szCs w:val="23"/>
        </w:rPr>
        <w:t xml:space="preserve">                   </w:t>
      </w:r>
    </w:p>
    <w:p w:rsidR="00BD6689" w:rsidRPr="00BD6689" w:rsidRDefault="00BD6689" w:rsidP="00BD6689">
      <w:pPr>
        <w:pStyle w:val="Default"/>
        <w:rPr>
          <w:sz w:val="23"/>
          <w:szCs w:val="23"/>
        </w:rPr>
      </w:pP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«ЛЕСКОЛОВСКОЕ СЕЛЬСКОЕ ПОСЕЛЕНИЕ» 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</w:rPr>
      </w:pP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</w:rPr>
      </w:pP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851EED" w:rsidRDefault="00851EED" w:rsidP="00851EED">
      <w:pPr>
        <w:spacing w:after="0"/>
        <w:jc w:val="center"/>
        <w:rPr>
          <w:rFonts w:ascii="Times New Roman" w:hAnsi="Times New Roman" w:cs="Times New Roman"/>
          <w:b/>
        </w:rPr>
      </w:pPr>
    </w:p>
    <w:p w:rsidR="00851EED" w:rsidRPr="00A622D6" w:rsidRDefault="001D7920" w:rsidP="00851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2D6">
        <w:rPr>
          <w:rFonts w:ascii="Times New Roman" w:hAnsi="Times New Roman" w:cs="Times New Roman"/>
          <w:sz w:val="28"/>
          <w:szCs w:val="28"/>
        </w:rPr>
        <w:t>21.05.2018 г.</w:t>
      </w:r>
      <w:r w:rsidR="00851EED" w:rsidRPr="00A62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A622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22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22D6">
        <w:rPr>
          <w:rFonts w:ascii="Times New Roman" w:hAnsi="Times New Roman" w:cs="Times New Roman"/>
          <w:sz w:val="28"/>
          <w:szCs w:val="28"/>
        </w:rPr>
        <w:t>№</w:t>
      </w:r>
      <w:r w:rsidR="007459DA">
        <w:rPr>
          <w:rFonts w:ascii="Times New Roman" w:hAnsi="Times New Roman" w:cs="Times New Roman"/>
          <w:sz w:val="28"/>
          <w:szCs w:val="28"/>
        </w:rPr>
        <w:t>15</w:t>
      </w:r>
    </w:p>
    <w:p w:rsidR="00851EED" w:rsidRPr="00A622D6" w:rsidRDefault="00851EED" w:rsidP="00851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2D6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A622D6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851EED" w:rsidRDefault="00851EED" w:rsidP="00851EED">
      <w:pPr>
        <w:ind w:left="779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</w:tblGrid>
      <w:tr w:rsidR="00851EED" w:rsidRPr="00BD6689" w:rsidTr="00851EED">
        <w:trPr>
          <w:trHeight w:val="2348"/>
        </w:trPr>
        <w:tc>
          <w:tcPr>
            <w:tcW w:w="6204" w:type="dxa"/>
          </w:tcPr>
          <w:p w:rsidR="00851EED" w:rsidRPr="00BD6689" w:rsidRDefault="00851EED">
            <w:pPr>
              <w:pStyle w:val="ConsPlusTitle"/>
              <w:spacing w:line="254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6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Об утверждении Порядка направления нормативных правовых актов, проектов нормативных правовых актов, правовых актов, не носящих правовой характер совета депутатов муниципального образования «</w:t>
            </w:r>
            <w:proofErr w:type="spellStart"/>
            <w:r w:rsidRPr="00BD6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Лесколовское</w:t>
            </w:r>
            <w:proofErr w:type="spellEnd"/>
            <w:r w:rsidRPr="00BD668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сельское поселение» Всеволожского муниципального района Ленинградской области во Всеволожскую городскую прокуратуру</w:t>
            </w:r>
          </w:p>
          <w:p w:rsidR="00851EED" w:rsidRPr="00BD6689" w:rsidRDefault="00851EED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51EED" w:rsidRPr="00BD6689" w:rsidRDefault="00851EED" w:rsidP="00851EED">
      <w:pPr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66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 от 25.12.2008 №273-ФЗ «О противодействии коррупции»,  от 17.07.2009 №172-ФЗ «О проведении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экспертизы»,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поселение», Соглашением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 Российской Федерации совет депутатов принял</w:t>
      </w:r>
      <w:proofErr w:type="gramEnd"/>
    </w:p>
    <w:p w:rsidR="00851EED" w:rsidRPr="00BD6689" w:rsidRDefault="00851EED" w:rsidP="00851E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8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51EED" w:rsidRPr="00BD6689" w:rsidRDefault="00851EED" w:rsidP="00851EE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51EED" w:rsidRPr="00BD6689" w:rsidRDefault="00851EED" w:rsidP="00851E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1.Утвердить Порядок направления нормативных правовых актов, проектов нормативных правовых актов, правовых актов, не носящих нормативный характер совета депутатов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во Всеволожскую городскую прокуратуру согласно приложению к настоящему </w:t>
      </w:r>
      <w:r w:rsidRPr="00BD6689">
        <w:rPr>
          <w:rFonts w:ascii="Times New Roman" w:hAnsi="Times New Roman" w:cs="Times New Roman"/>
          <w:sz w:val="28"/>
          <w:szCs w:val="28"/>
        </w:rPr>
        <w:lastRenderedPageBreak/>
        <w:t>решению.</w:t>
      </w:r>
    </w:p>
    <w:p w:rsidR="00851EED" w:rsidRPr="00BD6689" w:rsidRDefault="00851EED" w:rsidP="00851EE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2.Считать утратившим силу решение совета депутатов от 28.02.2018 г №11 «Об утверждении Положения о порядке предоставления в прокуратуру Всеволожского района принятых нормативных правовых актов совета депутатов  и их проектов для осуществления правовой ревизии».</w:t>
      </w:r>
    </w:p>
    <w:p w:rsidR="00851EED" w:rsidRPr="00BD6689" w:rsidRDefault="00851EED" w:rsidP="00851EED">
      <w:pPr>
        <w:pStyle w:val="a4"/>
        <w:widowControl w:val="0"/>
        <w:autoSpaceDE w:val="0"/>
        <w:autoSpaceDN w:val="0"/>
        <w:adjustRightInd w:val="0"/>
        <w:ind w:left="733"/>
        <w:jc w:val="both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принятия.</w:t>
      </w:r>
    </w:p>
    <w:p w:rsidR="00851EED" w:rsidRPr="00BD6689" w:rsidRDefault="00851EED" w:rsidP="0085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Интернет. </w:t>
      </w:r>
    </w:p>
    <w:p w:rsidR="00851EED" w:rsidRPr="00BD6689" w:rsidRDefault="00851EED" w:rsidP="0085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EED" w:rsidRPr="00BD6689" w:rsidRDefault="00851EED" w:rsidP="0085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68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D6689">
        <w:rPr>
          <w:rFonts w:ascii="Times New Roman" w:hAnsi="Times New Roman" w:cs="Times New Roman"/>
          <w:sz w:val="28"/>
          <w:szCs w:val="28"/>
        </w:rPr>
        <w:t>Контроль исполнения решения оставляю за собой.</w:t>
      </w:r>
    </w:p>
    <w:p w:rsidR="00851EED" w:rsidRPr="00BD6689" w:rsidRDefault="00851EED" w:rsidP="00851EED">
      <w:pPr>
        <w:tabs>
          <w:tab w:val="left" w:pos="353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BD66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68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</w:t>
      </w:r>
      <w:r w:rsidR="00BD66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D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92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D6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689">
        <w:rPr>
          <w:rFonts w:ascii="Times New Roman" w:hAnsi="Times New Roman" w:cs="Times New Roman"/>
          <w:color w:val="000000"/>
          <w:sz w:val="28"/>
          <w:szCs w:val="28"/>
        </w:rPr>
        <w:t xml:space="preserve">  А.Л. Михеев</w:t>
      </w: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Default="00851EED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D6689" w:rsidRDefault="00BD6689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1D7920" w:rsidRDefault="001D7920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1D7920" w:rsidRDefault="001D7920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1D7920" w:rsidRPr="00BD6689" w:rsidRDefault="001D7920" w:rsidP="00851EED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851EED" w:rsidRPr="00BD6689" w:rsidRDefault="00851EED" w:rsidP="00851EED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1EED" w:rsidRPr="00BD6689" w:rsidRDefault="00851EED" w:rsidP="00851EE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851EED" w:rsidRPr="00BD6689" w:rsidRDefault="00851EED" w:rsidP="00851EE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сельское поселение»   </w:t>
      </w:r>
    </w:p>
    <w:p w:rsidR="00851EED" w:rsidRPr="00BD6689" w:rsidRDefault="001D7920" w:rsidP="001D7920">
      <w:pPr>
        <w:spacing w:after="0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21.05.2018 г. №</w:t>
      </w:r>
      <w:r w:rsidR="00696D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ED" w:rsidRPr="00BD6689" w:rsidRDefault="00851EED" w:rsidP="00851EED">
      <w:pPr>
        <w:spacing w:after="0"/>
        <w:ind w:left="5387" w:right="-4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1EED" w:rsidRPr="00BD6689" w:rsidRDefault="00851EED" w:rsidP="00851EED">
      <w:pPr>
        <w:ind w:left="5387" w:right="-4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851EED" w:rsidRPr="00BD6689" w:rsidRDefault="00851EED" w:rsidP="00851EE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совета депутатов МО «</w:t>
      </w:r>
      <w:proofErr w:type="spellStart"/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</w:t>
      </w: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851EED" w:rsidRPr="00BD6689" w:rsidRDefault="00851EED" w:rsidP="00851EED">
      <w:pPr>
        <w:pStyle w:val="a4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направления во Всеволожскую городскую прокуратуру 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(далее – прокуратура) нормативных правовых актов, проектов нормативных правовых актов, правовых актов, не носящих нормативный характер, Совета депутатов МО 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 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характер, совета депутатов МО</w:t>
      </w:r>
      <w:r w:rsidRPr="00BD668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  Всеволожского 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Ленинградской области (далее – совет депутатов).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 w:rsidRPr="00BD6689">
        <w:rPr>
          <w:rFonts w:ascii="Times New Roman" w:hAnsi="Times New Roman" w:cs="Times New Roman"/>
          <w:sz w:val="28"/>
          <w:szCs w:val="28"/>
        </w:rPr>
        <w:t xml:space="preserve">17.07.2009 №172-ФЗ «О проведении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экспертизы», от 06.10.2003 №131-ФЗ «Об общих принципах организации местного самоуправления в Российской Федерации», Уставом муниципального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образования_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Лесколовское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  <w:r w:rsidRPr="00BD6689">
        <w:rPr>
          <w:rFonts w:ascii="Times New Roman" w:hAnsi="Times New Roman" w:cs="Times New Roman"/>
          <w:sz w:val="28"/>
          <w:szCs w:val="28"/>
        </w:rPr>
        <w:t>, Соглашением от 19.11.2014 (с дополнительным соглашением от 18.01.2016) о взаимодействии в правотворческой деятельности и обеспечении единства правового пространства Российской Федерации.</w:t>
      </w:r>
      <w:proofErr w:type="gramEnd"/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принятые советом депутатов, проекты нормативных правовых актов совета депутатов подлежат направлению в прокуратуру для проведения проверки на соответствие законодательству и проведения </w:t>
      </w:r>
      <w:proofErr w:type="spellStart"/>
      <w:r w:rsidRPr="00BD668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851EED" w:rsidRPr="00BD6689" w:rsidRDefault="00851EED" w:rsidP="00851EE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общеобязательные правила поведения, рассчитанные на неопределенный круг лиц и неоднократное применение.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  <w:proofErr w:type="gramEnd"/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рассчитан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на неоднократное применение.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2.3 Нормативными правовыми актами совета депутатов являются: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2.4 Правовой акт, не носящий нормативный характер – правовой акт, принимаемый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Подготовка нормативных правовых актов 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 в порядке, предусмотренном нормативным правовым актом, регламентирующим порядок нормотворческой деятельности совета депутатов.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даты их принятия в прокуратуру путем передачи проекта и сопроводительного письма в отдел, осуществляющий работу по  делопроизводству и отправку корреспонденции.</w:t>
      </w:r>
    </w:p>
    <w:p w:rsidR="00851EED" w:rsidRPr="00BD6689" w:rsidRDefault="00851EED" w:rsidP="00851EED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851EED" w:rsidRPr="00BD6689" w:rsidRDefault="00851EED" w:rsidP="00851EED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не поступления заключения прокуратуры в течение 5 рабочих дней 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с даты направления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в прокуратуру разработчик предоставляет проект нормативного правового акта в отдел,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осуществляющий работу по делопроизводству и отправке корреспонденции, для последующего оформления.</w:t>
      </w:r>
    </w:p>
    <w:p w:rsidR="00851EED" w:rsidRPr="00BD6689" w:rsidRDefault="00851EED" w:rsidP="00851EED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Направление нормативных правовых актов и их проектов для проведения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</w:t>
      </w:r>
    </w:p>
    <w:p w:rsidR="00851EED" w:rsidRPr="00BD6689" w:rsidRDefault="00851EED" w:rsidP="00851EED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Разработчик документа обеспечивает направление проекта нормативного правового акта в отдел,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экспертизы.</w:t>
      </w:r>
    </w:p>
    <w:p w:rsidR="00851EED" w:rsidRPr="00BD6689" w:rsidRDefault="00851EED" w:rsidP="008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851EED" w:rsidRPr="00BD6689" w:rsidRDefault="00851EED" w:rsidP="008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планируемой даты принятия нормативного правового акта;</w:t>
      </w:r>
    </w:p>
    <w:p w:rsidR="00851EED" w:rsidRPr="00BD6689" w:rsidRDefault="00851EED" w:rsidP="008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4.3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7" w:history="1"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BD6689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Порядок рассмотрения информационных писем, заключений, требований прокуратуры</w:t>
      </w:r>
    </w:p>
    <w:p w:rsidR="00851EED" w:rsidRPr="00BD6689" w:rsidRDefault="00851EED" w:rsidP="00851EE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5.1 Информационные письма, заключения, требования, подготовленные прокуратурой по результатам правовой и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проектов нормативных правовых актов, подлежат обязательному рассмотрению.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5.2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совета депутатов, а также должностными 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лицами органов местного самоуправления, курирующим данное направление.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5.3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несогласия с актами прокуратуры, направленным по результатам осуществления правовой,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совета депутатов, а также должностными лицами органов местного самоуправления, курирующим данное направление.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851EED" w:rsidRPr="00BD6689" w:rsidRDefault="00851EED" w:rsidP="00851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реестров и проведение </w:t>
      </w: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сверки полноты направления проектов нормативных правовых актов</w:t>
      </w:r>
      <w:proofErr w:type="gram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и принятых нормативных правовых актов с прокуратурой</w:t>
      </w:r>
    </w:p>
    <w:p w:rsidR="00851EED" w:rsidRPr="00BD6689" w:rsidRDefault="00851EED" w:rsidP="00851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1EED" w:rsidRPr="00BD6689" w:rsidRDefault="00851EED" w:rsidP="00851EE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 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851EED" w:rsidRPr="00BD6689" w:rsidRDefault="00851EED" w:rsidP="00851EE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</w:t>
      </w:r>
      <w:proofErr w:type="spell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>антикоррупционной</w:t>
      </w:r>
      <w:proofErr w:type="spellEnd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экспертизы.</w:t>
      </w:r>
    </w:p>
    <w:p w:rsidR="00851EED" w:rsidRPr="00BD6689" w:rsidRDefault="00851EED" w:rsidP="00851EE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851EED" w:rsidRPr="00BD6689" w:rsidRDefault="00851EED" w:rsidP="00851E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851EED" w:rsidRPr="00BD6689" w:rsidRDefault="00851EED" w:rsidP="00851E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8" w:history="1"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BD6689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D6689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BD6689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совета депутатов с указанием в теме письма на его содержание, с последующим досылом оригиналов по почте.</w:t>
      </w:r>
      <w:proofErr w:type="gramEnd"/>
    </w:p>
    <w:p w:rsidR="00BD6689" w:rsidRPr="00BD6689" w:rsidRDefault="00851EED" w:rsidP="00BD668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6689">
        <w:rPr>
          <w:rFonts w:ascii="Times New Roman" w:hAnsi="Times New Roman" w:cs="Times New Roman"/>
          <w:sz w:val="28"/>
          <w:szCs w:val="28"/>
          <w:lang w:eastAsia="ar-SA"/>
        </w:rPr>
        <w:t>6.4 Ежемесячно до 01 числа советом депутатов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sectPr w:rsidR="00BD6689" w:rsidRPr="00BD6689" w:rsidSect="00C1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ED"/>
    <w:rsid w:val="00117C6D"/>
    <w:rsid w:val="001D24BD"/>
    <w:rsid w:val="001D7920"/>
    <w:rsid w:val="002507E4"/>
    <w:rsid w:val="00373894"/>
    <w:rsid w:val="003D5A09"/>
    <w:rsid w:val="00463817"/>
    <w:rsid w:val="00696DD5"/>
    <w:rsid w:val="007459DA"/>
    <w:rsid w:val="00851EED"/>
    <w:rsid w:val="00A622D6"/>
    <w:rsid w:val="00BD6689"/>
    <w:rsid w:val="00C1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E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1EED"/>
    <w:pPr>
      <w:ind w:left="720"/>
      <w:contextualSpacing/>
    </w:pPr>
  </w:style>
  <w:style w:type="paragraph" w:customStyle="1" w:styleId="ConsPlusTitle">
    <w:name w:val="ConsPlusTitle"/>
    <w:uiPriority w:val="99"/>
    <w:rsid w:val="0085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51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vsevolozhsk@prok47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o-vsevolozhsk@prok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EEB3-E9C8-47BA-BC0F-BEF03977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13</cp:revision>
  <cp:lastPrinted>2018-05-22T07:29:00Z</cp:lastPrinted>
  <dcterms:created xsi:type="dcterms:W3CDTF">2018-04-02T09:26:00Z</dcterms:created>
  <dcterms:modified xsi:type="dcterms:W3CDTF">2018-05-28T05:37:00Z</dcterms:modified>
</cp:coreProperties>
</file>